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B6" w:rsidRPr="00420560" w:rsidRDefault="001855B6" w:rsidP="001855B6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20560">
        <w:rPr>
          <w:rFonts w:asciiTheme="majorBidi" w:hAnsiTheme="majorBidi" w:cstheme="majorBidi"/>
          <w:b/>
          <w:bCs/>
          <w:sz w:val="24"/>
          <w:szCs w:val="24"/>
        </w:rPr>
        <w:t xml:space="preserve">Supplementary 3. </w:t>
      </w:r>
      <w:r w:rsidRPr="00420560">
        <w:rPr>
          <w:rFonts w:asciiTheme="majorBidi" w:hAnsiTheme="majorBidi" w:cstheme="majorBidi"/>
          <w:sz w:val="24"/>
          <w:szCs w:val="24"/>
        </w:rPr>
        <w:t>Multivariate regression reassessment of overall post-treatment outcomes</w:t>
      </w:r>
    </w:p>
    <w:tbl>
      <w:tblPr>
        <w:tblStyle w:val="TableGrid"/>
        <w:tblW w:w="0" w:type="auto"/>
        <w:tblInd w:w="0" w:type="dxa"/>
        <w:tblLook w:val="04A0"/>
      </w:tblPr>
      <w:tblGrid>
        <w:gridCol w:w="2966"/>
        <w:gridCol w:w="2940"/>
        <w:gridCol w:w="2950"/>
      </w:tblGrid>
      <w:tr w:rsidR="001855B6" w:rsidRPr="00420560" w:rsidTr="00AF636A"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Post-ablation Diagnosis</w:t>
            </w:r>
          </w:p>
        </w:tc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patients (n)</w:t>
            </w:r>
          </w:p>
        </w:tc>
        <w:tc>
          <w:tcPr>
            <w:tcW w:w="3006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Percentage (%)</w:t>
            </w:r>
          </w:p>
        </w:tc>
      </w:tr>
      <w:tr w:rsidR="001855B6" w:rsidRPr="00420560" w:rsidTr="00AF636A"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Euthyroid</w:t>
            </w:r>
          </w:p>
        </w:tc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3006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6.7%</w:t>
            </w:r>
          </w:p>
        </w:tc>
      </w:tr>
      <w:tr w:rsidR="001855B6" w:rsidRPr="00420560" w:rsidTr="00AF636A"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Hyperthyroidism</w:t>
            </w:r>
          </w:p>
        </w:tc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3006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16.9%</w:t>
            </w:r>
          </w:p>
        </w:tc>
      </w:tr>
      <w:tr w:rsidR="001855B6" w:rsidRPr="00420560" w:rsidTr="00AF636A"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Hypothyroidism</w:t>
            </w:r>
          </w:p>
        </w:tc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63</w:t>
            </w:r>
          </w:p>
        </w:tc>
        <w:tc>
          <w:tcPr>
            <w:tcW w:w="3006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70.8%</w:t>
            </w:r>
          </w:p>
        </w:tc>
      </w:tr>
      <w:tr w:rsidR="001855B6" w:rsidRPr="00420560" w:rsidTr="00AF636A"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euthyroid</w:t>
            </w:r>
          </w:p>
        </w:tc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1855B6" w:rsidRPr="00420560" w:rsidTr="00AF636A"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Questionable hypothyroidism</w:t>
            </w:r>
          </w:p>
        </w:tc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  <w:tr w:rsidR="001855B6" w:rsidRPr="00420560" w:rsidTr="00AF636A"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Subclinical hypothyroidism</w:t>
            </w:r>
          </w:p>
        </w:tc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006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2.2%</w:t>
            </w:r>
          </w:p>
        </w:tc>
      </w:tr>
      <w:tr w:rsidR="001855B6" w:rsidRPr="00420560" w:rsidTr="00AF636A"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Suspected hypothyroidism</w:t>
            </w:r>
          </w:p>
        </w:tc>
        <w:tc>
          <w:tcPr>
            <w:tcW w:w="3005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006" w:type="dxa"/>
          </w:tcPr>
          <w:p w:rsidR="001855B6" w:rsidRPr="00420560" w:rsidRDefault="001855B6" w:rsidP="00AF636A">
            <w:pPr>
              <w:widowControl w:val="0"/>
              <w:adjustRightInd w:val="0"/>
              <w:snapToGrid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420560">
              <w:rPr>
                <w:rFonts w:asciiTheme="majorBidi" w:hAnsiTheme="majorBidi" w:cstheme="majorBidi"/>
                <w:sz w:val="24"/>
                <w:szCs w:val="24"/>
              </w:rPr>
              <w:t>1.1%</w:t>
            </w:r>
          </w:p>
        </w:tc>
      </w:tr>
    </w:tbl>
    <w:p w:rsidR="001855B6" w:rsidRPr="00420560" w:rsidRDefault="001855B6" w:rsidP="001855B6">
      <w:pPr>
        <w:widowControl w:val="0"/>
        <w:adjustRightInd w:val="0"/>
        <w:snapToGri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C6CD8" w:rsidRDefault="003C6CD8"/>
    <w:sectPr w:rsidR="003C6CD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1855B6"/>
    <w:rsid w:val="001855B6"/>
    <w:rsid w:val="003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5B6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2023-06-12T06:32:00Z</dcterms:created>
  <dcterms:modified xsi:type="dcterms:W3CDTF">2023-06-12T06:32:00Z</dcterms:modified>
</cp:coreProperties>
</file>