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</w:rPr>
        <w:t>COVID-19 as a risk factor for GDM:</w:t>
      </w:r>
    </w:p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8.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COVID-19 for the diagnosis of GDM among pregnant women stratified by WHO specified regions. Eskanazi et al 2022 removed as it involves 18 countries. GDM, gestational diabetes mellitus; COVID-19, coronavirus disease 2019; WHO, World Health Organisation.</w:t>
      </w:r>
    </w:p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noProof/>
        </w:rPr>
        <w:drawing>
          <wp:inline distT="0" distB="0" distL="0" distR="0">
            <wp:extent cx="5585789" cy="6640286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046" cy="665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BA" w:rsidRPr="009A58EA" w:rsidRDefault="00E451BA" w:rsidP="00E451BA">
      <w:pPr>
        <w:pStyle w:val="NormalWeb"/>
        <w:adjustRightInd w:val="0"/>
        <w:snapToGrid w:val="0"/>
        <w:spacing w:before="0" w:beforeAutospacing="0" w:after="0" w:afterAutospacing="0"/>
      </w:pPr>
    </w:p>
    <w:p w:rsidR="00610C07" w:rsidRDefault="00610C07"/>
    <w:sectPr w:rsidR="00610C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451BA"/>
    <w:rsid w:val="00610C07"/>
    <w:rsid w:val="00E4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451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2024-09-25T01:33:00Z</dcterms:created>
  <dcterms:modified xsi:type="dcterms:W3CDTF">2024-09-25T01:33:00Z</dcterms:modified>
</cp:coreProperties>
</file>